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18 201 vom 15. Februar 2019</w:t>
      </w:r>
    </w:p>
    <w:p>
      <w:r>
        <w:t>VS Kantonsgericht, 2019-02-15, DE</w:t>
      </w:r>
    </w:p>
    <w:p>
      <w:r>
        <w:rPr>
          <w:b/>
        </w:rPr>
        <w:t xml:space="preserve">Quelle: </w:t>
      </w:r>
      <w:r>
        <w:t>https://mcp.opencaselaw.ch/entscheid/vs_gerichte_A1 18 201</w:t>
      </w:r>
    </w:p>
    <w:p>
      <w:r>
        <w:t>FR: VS_GERICHTE A1 18 201 du 15 février 2019</w:t>
      </w:r>
    </w:p>
    <w:p>
      <w:r>
        <w:t>IT: VS_GERICHTE A1 18 201 del 15 febbraio 2019</w:t>
      </w:r>
    </w:p>
    <w:p>
      <w:pPr>
        <w:pStyle w:val="Heading2"/>
      </w:pPr>
      <w:r>
        <w:t>Regeste</w:t>
      </w:r>
    </w:p>
    <w:p>
      <w:r>
        <w:t>A1 18 201 URTEIL VOM 15. FEBRUAR 2019 Kantonsgericht Wallis Öffentlichrechtliche Abteilung Es wirken mit: Thomas Brunner, Präsident; Jean-Bernard Fournier und Christophe Joris, Richter, sowie Vanessa Brigger, Gerichtsschreiberin, in Sachen X _________ AG, Beschwerdeführerin, vertreten durch Rechtsanwalt M ___________, gegen STAATSRAT DES KANTONS WALLIS, 1950 Sitten, EINWOHNERGEMEINDE A ___________, (Bauwesen) Verwaltungsgerichtsbeschwerde gegen den Entscheid vom 22. August 2018.</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 Die Beschwerdeführerin ist als Adressatin des angefochtenen Staatsratsentscheids durch diesen berührt und hat ein schutzwürdiges Interesse an dessen Änderung oder Aufhe- bung, so dass sie gemäss Art. 80 Abs. 1 lit. a i.V.m. Art. 44 Abs. 1 lit. a VVRG zur Be- schwerdeführung legitimiert ist. Auf die im Übrigen form- und fristgerecht eingereichte Beschwerde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w:t>
      </w:r>
    </w:p>
    <w:p>
      <w:r>
        <w:t>- 5 - werden. Die Unzweckmässigkeit der Verfügung kann jedoch nur in Fällen, die hier nicht zutreffen (Art. 78 VVRG), überprüft werden.</w:t>
      </w:r>
    </w:p>
    <w:p>
      <w:r>
        <w:rPr>
          <w:b/>
        </w:rPr>
        <w:t>E. 3</w:t>
      </w:r>
    </w:p>
    <w:p>
      <w:r>
        <w:t>A., 2013, N. 153 und N. 537). Dies trifft u. a. zu, wenn eine Beweisführung über einen nicht rechtlich relevanten Sachverhalt verlangt wird (Art. 80 Abs. 1 lit. d, 56 und 17 Abs. 2 VVRG; Urteil des Bundesgerichts 1A.87/2006 vom 12. September 2006 E. 2.2; BGE 131 I 153 E. 3; 130 II 425 E. 2.1). Führen die von Amtes wegen vorzunehmenden Ab- klärungen die Verwaltung oder den Richter bei pflichtgemässer Beweiswürdigung zur Überzeugung, ein bestimmter Sachverhalt sei als überwiegend wahrscheinlich zu be- trachten und es könnten weitere Beweismassnahmen an diesem feststehenden Ergeb- nis nichts mehr ändern, ist auf die Abnahme weiterer Beweise zu verzichten (BGE 136 I 229 E. 5.3; 131 I 153 E. 3; 130 II 425 E. 2.1; Alfred Kölz/Isabelle Häner/Martin Bertschi, a.a.O., N. 153, 154 und 537).</w:t>
      </w:r>
    </w:p>
    <w:p>
      <w:r>
        <w:rPr>
          <w:b/>
        </w:rPr>
        <w:t>E. 3.1</w:t>
      </w:r>
    </w:p>
    <w:p>
      <w:r>
        <w:t>Das Recht, Beweise zu beantragen, ist ein Teilgehalt des rechtlichen Gehörs und die Parteien haben das Recht, die Abnahme relevanter Beweise zu verlangen (BGE 140 I 99 E. 3.4; 137 III 324 E. 3.2.2). Das Beweisverfahren kann nach der Rechtsprechung und der herrschenden Lehre geschlossen werden, ohne damit das rechtliche Gehör zu verletzen, wenn die entscheidende Instanz sich ihre Überzeugung gebildet hat und ohne Willkür in vorweggenommener Beweiswürdigung annehmen kann, der rechtsrelevante Sachverhalt würde durch weitere Beweiserhebungen nicht geändert (BGE 136 I 229 E. 5.3; 134 I 140 E. 5.3; 131 I 153 E. 3; ZWR 2009 S. 46 E. 3b; Alfred Kölz/Isabelle Häner/Martin Bertschi, Verwaltungsverfahren und Verwaltungsrechtspflege des Bundes,</w:t>
      </w:r>
    </w:p>
    <w:p>
      <w:r>
        <w:rPr>
          <w:b/>
        </w:rPr>
        <w:t>E. 3.2</w:t>
      </w:r>
    </w:p>
    <w:p>
      <w:r>
        <w:t>Das Kantonsgericht hat die vom Beschwerdeführer eingereichten Belege zu den Akten genommen. Der Staatsrat hat am 10. Oktober 2018 die Akten des Verwaltungs- beschwerdeverfahrens und der Gemeinde hinterlegt. Aus den Akten geht unter anderem hervor, dass an der besagten Sitzung vom 18. Dezember 2017 der Vertreter der Be- schwerdeführerin, die Gemeindepräsidentin und der Leiter des Bauamts der Gemeinde teilgenommen haben und dass keine Einigung erzielt worden ist, was keine der Parteien bestreitet (vgl. Sachverhaltsdarstellung auf S. 2 der Verfügung der Gemeinde vom</w:t>
      </w:r>
    </w:p>
    <w:p>
      <w:r>
        <w:rPr>
          <w:b/>
        </w:rPr>
        <w:t>E. 8</w:t>
      </w:r>
    </w:p>
    <w:p>
      <w:r>
        <w:t>März 2018 und Sachverhaltsdarstellung auf S. 6 der Beschwerde vom 26. September 2018). Zusätzliche mündliche Aussagen der damals anwesenden Personen würden keine neuen Erkenntnisse liefern. Die Akten enthalten die entscheidrelevanten Sachver- haltselemente und genügen, wie nachfolgende Erwägungen zeigen, zur Beurteilung der</w:t>
      </w:r>
    </w:p>
    <w:p>
      <w:r>
        <w:t>- 6 - rechtserheblichen Fragen. Das urteilende Gericht nimmt unter Berücksichtigung der vor- liegenden Umstände in antizipierter Beweiswürdigung an, weitere Beweismittel würden nichts an der zu beurteilenden Sach- und Rechtslage ändern. Deshalb wird auf zusätz- liche Beweisabnahmen – insbesondere Partei- und Zeugeneinvernahmen – verzichtet. 4. Die Beschwerdeführerin rügt eine Verletzung von Art. T1-1 des Baugesetzes vom 15. Dezember 2016 (BauG; SGS/VS 705.1), welcher als Übergangsbestimmung die An- wendbarkeit des neuen Rechts statuiert. 4.1 Nach den von der Rechtsprechung entwickelten allgemeinen Regeln ist die Recht- mässigkeit eines Verwaltungsakts bei Fehlen einer ausdrücklichen, gesetzlichen Über- gangsregelung nach der materiellen Rechtslage zur Zeit seines Erlasses zu beurteilen (BGE 144 II 326 E. 2.1.1; 141 II 393 E. 2.4; 139 II 263 E. 6; 125 II 591 E. 5e/aa; Pierre Tschannen/Ulrich Zimmerli/Markus Müller, Allgemeines Verwaltungsrecht, 4. A. 2014, § 24 N. 20) bzw. nach der materiellen Rechtslage zur Zeit des für die Rechtsfolgen mass- geblichen Sachverhaltsverwirklichung (BGE 137 V 394 E. 3; 136 V 24 E. 4.3 mit weiteren Hinweisen). Es handelt sich bei dieser Regel um eine Richtlinie, die nicht stereotyp an- gewendet wird: Die Frage der intertemporalrechtlichen Geltung einer Norm wird primär nach den allgemein anerkannten Auslegungsgrundsätzen entschieden (René Wieder- kehr/ Paul Richli, Praxis des allgemeinen Verwaltungsrechts, Band I, Bern 2012, § 3 N. 777). Bei Rechtsänderungen während eines Beschwerdeverfahrens kommt grundsätz- lich das alte materielle Recht zur Anwendung. Dieser Nachwirkungsgrundsatz ist aller- dings zu relativieren (Pierre Tschannen/Ulrich Zimmerli/Markus Müller, a.a.O., § 24 N. 20). So darf neues strengeres Recht auf hängige Beschwerdesachen gleichwohl An- wendung finden, falls es um der öffentlichen Ordnung willen oder zur Durchsetzung er- heblicher öffentlicher Interessen erlassen wurde bzw. zwingende Gründe für seine so- fortige Anwendung sprechen (BGE 141 II 393 E. 2.4; 139 II 243 E. 11.1). Zwingende Gründe für eine sofortige Anwendung des neuen Rechts hat das Bundesgericht insbe- sondere im Bereich des Gewässer-, Natur-, Heimat- und Umweltschutzrechts als gege- ben erachtet (BGE 135 II 384 E. 2.3 S. 390). Neues günstigeres Recht soll zudem stets berücksichtigt werden (vgl. BGE 129 II 497 E. 5.3.2; 126 II 522 E. 3b/aa; Pierre Tschan- nen/Ulrich Zimmerli/Markus Müller, a.a.O., § 24 N. 20). 4.2 Am 1. Januar 2018 ist das neue Baugesetz vom 15. Dezember 2016 sowie die neue Bauverordnung vom 22. März 2017 (BauV; SGS/VS 705.100) in Kraft getreten. Das BauG ist ab seinem Inkrafttreten anwendbar und sämtliche nach seinem Inkrafttreten gefällten Entscheide sind darauf zu stützen (Art. T1-1 BauG). Gemäss Art. T1-1 BauV</w:t>
      </w:r>
    </w:p>
    <w:p>
      <w:r>
        <w:t>- 7 - werden Beschwerdeverfahren betreffend eine nach altem Baurecht erteilte Baubewilli- gung jedoch nach dem alten Recht fortgeführt (vgl. Urteile des Kantonsgerichts A1 17 239 vom 17. Juli 2018 E. 4; A1 17 123 vom 20. April 2018 E. 1). 4.3 Dem angefochtenen Entscheid des Staatsrats liegen eine Verfügung betreffend die Feststellung der Ungültigkeit der Baubewilligung vom 9. Dezember 2010 und eine Ver- fügung betreffend den Baustopp zu Grunde; es handelt sich nicht um ein Beschwerde- verfahren betreffend eine Baubewilligung i.S.v. Art. T 1-1 BauV. Zu beurteilen ist nicht die Rechtmässigkeit der Baubewilligung, welche rechtskräftig ist und von der bereits Ge- brauch gemacht worden ist. Strittig ist vorliegend die Geltungsdauer bzw. ein allfälliges Erlöschen der rechtskräftigen Baubewilligung durch eine unbegründete Unterbrechung der Bautätigkeit. Zudem sind die genannten Verfügungen der Gemeinde am 8. und 15. März 2018 und somit nach dem Inkrafttreten des neuen Baugesetzes und der neuen Bauverordnung gefällt worden; sie haben sich gemäss Art. T 1-1 Abs. 1 BauG auf das neue BauG zu stützen. Eine verbotene Rückwirkung des neuen Baurechts liegt entge- gen der Ansicht der Vorinstanz nicht vor. Dass die Gemeinde geltend macht, die Bauar- beiten hätten ab Mai 2016 stillgestanden und sie sei bereits im September 2017 zum Schluss gelangt, dass die Baubewilligung ungültig geworden sei, vermag daran nichts zu ändern: Die Feststellung der Ungültigkeit und den Baustopp hat der Gemeinderat erst an den Sitzungen vom 8. bzw. 15. März 2018 beschlossen, obwohl die Beschwerdefüh- rerin zuvor mehrmals um Zustellung einer anfechtbaren Verfügung gebeten hat. Auf- grund der klaren übergangsrechtlichen Bestimmungen ist vorliegend das neue Bauge- setz und die neue Bauverordnung anwendbar. 4.4 Gemäss Art. 44 Abs. 1 BauV sind die Bauarbeiten bis zu deren Beendigung fortzu- führen, sofern keine hinreichenden Gründe entgegen stehen. Werden die Bauarbeiten ohne hinreichenden Gründe eingestellt, hat die zuständige Behörde die Beendigung der Arbeiten, eine annehmbare Anpassung oder gegebenenfalls den Abbruch der begonne- nen Bauten und Anlagen mit Wiederherstellung des rechtmässigen Zustandes zu ver- langen, wobei bei Gesamtüberbauungen die Arbeiten über länger als zwei Jahre ohne hinreichenden Grund unterbrochen sein müssen (Abs. 2). 4.5 Die Gemeinde hat am 17. November 2016 eine Wohnbewilligung ausgestellt und geht davon aus, dass seit Ende Mai 2016 nicht mehr gebaut worden ist. Die Beschwer- deführerin bestreitet den Stillstand der Arbeiten und macht geltend, dass aus der Aus- stellung der Wohnbewilligung nicht auf die Beendigung der Bauarbeiten geschlossen werden könne. Üblicherweise werde diese vor Abschluss sämtlicher Bauarbeiten erteilt,</w:t>
      </w:r>
    </w:p>
    <w:p>
      <w:r>
        <w:t>- 8 - d.h. auch nach der Erteilung der Wohnbewilligung würden weitere, der Bewilligungs- pflicht unterliegende Arbeiten wie Umgebungs- oder Fassadenarbeiten ausgeführt. 4.6 Ab wann und wie lange die Bauarbeiten tatsächlich unterbrochen gewesen sind und ob dafür hinreichende Gründe vorgelegen haben, kann vorliegend offenbleiben: Nach dem einschlägigen Art. 44 Abs. 2 BauV muss bei einer Gesamtüberbauung der Unter- bruch länger als zwei Jahre gedauert haben, damit die Gemeinde tätig werden kann. Selbst wenn man vom von der Gemeinde angegebenen Zeitpunkt der letzten Bautätig- keiten ausgeht - dem 31. Mai 2016 - ist bis zur Verfügung der Ungültigkeit am 8. März 2018 bzw. des Baustopps am 15. März 2018 die Zweijahresfrist nicht abgelaufen. Die Baubewilligung vom 9. Dezember 2010 mit ihren diversen Abänderungen ist somit nach wie vor gültig. Im Übrigen hätte die Gemeinde auch gestützt auf die alte Baugesetzge- bung prüfen müssen, ob wichtige Gründe bzw. zwingende Gründe für den Unterbruch der Bauarbeiten vorgelegen haben (vgl. Art. 56 aBauG). 5. Des Weiteren bringt die Beschwerdeführerin vor, aufgrund der Verletzung der Über- gangsbestimmung Art. T1-1 BauG sei auch Art. 51 Abs. 3 BauG verletzt worden. 5.1 Art. 51 BauG trägt die Überschrift "Geltungsdauer" (Durée de validité). Gemäss Art. 51 Abs. 1 BauG erlischt die Baubewilligung, wenn mit der Ausführung des Bauvor- habens nicht innerhalb von drei Jahren seit ihrer Rechtskraft begonnen wird. Der Bau gilt als begonnen, sobald bedeutende Arbeiten erfolgt sind, insbesondere die Erdarbei- ten abgeschlossen sind oder wenn ein für das Projekt erforderlicher bedeutender Aus- hub stattgefunden hat. Umfasst die gleiche Bewilligung mehrere Gebäude, ist die Frist gewahrt, wenn innerhalb von fünf Jahren seit Rechtskrafteintritt mit dem Bau eines Ge- bäudes begonnen wird (Art. 51 Abs. 3 BauG). Diese Frist ist nur relevant, wenn noch nicht mit der Ausführung des Baus begonnen wurde (Bericht der Kommission zum Ent- wurf der Totalrevision des Baugesetzes – 2. Lesung, S. 17) und ist nicht mit der in Art. 44 Abs. 1 BauV geregelten Frist für die Unterbrechung eines bereits begonnenen Baus zu verwechseln (Bericht der Kommission zum Entwurf der Totalrevision des Baugeset- zes – 2. Lesung, S. 18). Art. 53 Abs. 1 und 3 aBauV mit der Überschrift "Zeitliche Gel- tung" (Durée de validité) hat dieselben Fristen für den Baubeginn enthalten. 5.2 Die Baubewilligung ist für das gesamte Projekt erteilt worden, sie erlaubt der Be- schwerdeführerin die Erstellung von mehreren Gebäuden (24 bzw. 22 Chalets), weshalb mit den Bauarbeiten gemäss alter und neuer Baugesetzgebung nach Eintritt der Rechts- kraft innerhalb von fünf Jahren begonnen werden muss. Der fristgerechte Baubeginn des am 9. Dezember 2010 bewilligten Projekts wird von der Gemeinde nicht bestritten;</w:t>
      </w:r>
    </w:p>
    <w:p>
      <w:r>
        <w:t>- 9 - die Beschwerdeführerin hat im Frühling 2011 mit den Bauarbeiten begonnen und seit- dem 11 der 22 geplanten Chalets erstellt (Verfügung der Gemeinde vom 8. März 2018, Sachverhalt S. 1 f.). 5.3 Die Schlussfolgerung der Vorinstanz und der Gemeinde, die Baubewilligung der Be- schwerdeführerin sei, was die noch nicht begonnen Gebäude angeht, aufgrund von Art. 51 Abs. 3 BauG bzw. Art. 53 Abs. 3 aBauV nach Ablauf von fünf Jahren im Januar 2016 erloschen (vgl. S. 4 f. des angefochtenen Entscheids), ist nach dem oben Gesagten un- zutreffend. Daran ändert auch die von der Vorinstanz ins Feld geführte Auflage der Bau- bewilligung vom 9. Dezember 2010 nichts: Die Auflage 1.2 trägt die Überschrift "Durée de validité" und besagt nichts Anderes als die oben zitierte Baugesetzgebung (Baube- ginn innert 3 bzw. 5 Jahren seit Rechtskraft). Die Baubewilligung vom 9. Dezember 2010 ist demnach nicht durch zu späten Baubeginn aufgrund Art. 51 Abs. 3 BauG erloschen und auch in dieser Hinsicht nach wie vor gültig. 6. Die Vorinstanz hält im angefochtenen Entscheid fest, dass die Anwendung des neuen Rechts vorliegend die Bewilligung verlängern würde und damit dem Bundesgesetz über die Zweitwohnungen vom 20. März 2015 (Zweitwohnungsgesetz [ZWG]; SR 702) wider- sprechen würde. 6.1 Gemäss Art. 25 Abs. 1 ZWG ist das Zweitwohnungsgesetz anwendbar auf Bauge- suche, über die nach seinem Inkrafttreten erstinstanzlich oder in einem Beschwerdever- fahren zu entscheiden ist. Die vor dem 31. Dezember 2012 gemäss jeweiligem kantona- lem Verfahrensrecht rechtskräftig erteilten Baubewilligungen bleiben gültig (Art. 25 Abs. 4 ZWG). Das ZWG ist auf alle Baugesuche anwendbar, die am 1. Januar 2016 (Datum des Inkrafttretens des ZWG) noch nicht rechtskräftig bewilligt waren, auch wenn die Bau- bewilligung noch vor Inkrafttreten von Art. 75b BV am 11. März 2012 erstinstanzlich er- teilt wurde (BGE 144 II 326 E. 2.4). 6.2 Wie bereits ausgeführt (siehe oben E. 4.3), liegen dem angefochtenen Entscheid des Staatsrats die Verfügungen der Gemeinde vom 8. März 2018 bzw. 15. März 2018 betreffend Ungültigkeit der Bewilligung und Baustopp zugrunde. Die Baubewilligung vom</w:t>
      </w:r>
    </w:p>
    <w:p>
      <w:r>
        <w:rPr>
          <w:b/>
        </w:rPr>
        <w:t>E. 9</w:t>
      </w:r>
    </w:p>
    <w:p>
      <w:r>
        <w:t>Dezember 2010 ist lange vor dem 11. März bzw. 31. Dezember 2012 in Rechtskraft erwachsen und war im Verwaltungsbeschwerdeverfahren nicht das Anfechtungsobjekt. Das ZWG ist demnach entgegen der Ansicht der Vorinstanz vorliegend nicht anwendbar und kann nicht als Begründung für eine Ungültigkeit der Baubewilligung herangezogen werden.</w:t>
      </w:r>
    </w:p>
    <w:p>
      <w:r>
        <w:t>- 10 - 6.3 Da die Beschwerde bereits aufgrund der falschen Anwendung der kantonalen Bau- gesetzgebung gutgeheissen wird, kann offen bleiben, ob das Vorgehen der Gemeinde zudem gegen das Legalitätsprinzip (Art. 5 Abs. 1 BV) sowie den Grundsatz von Treu und Glauben (Art. 9 BV) verstossen hat. 7. Nach dem Gesagten wird die Verwaltungsgerichtsbeschwerde gutgeheissen und der angefochtene Entscheid des Staatsrates vom 22. August 2018 wird aufgehoben. 7.1 Im Beschwerdeverfahren hat in der Regel die unterliegende Partei die Kosten zu tragen (Art. 89 Abs. 1 VVRG). Ausnahmsweise können die Kosten ganz oder teilweise erlassen werden (Art. 89 Abs. 2 VVRG). Den Behörden des Bundes, des Kantons und der Gemeinden, die in ihrem amtlichen Wirkungskreis und ohne dass es sich um ihr Vermögensinteresse handelt, als Parteien oder Vorinstanzen in einem Verfahren auftre- ten, werden in der Regel keine Kosten auferlegt (Art. 89 Abs. 4 VVRG). Vorliegend be- stehen keine Gründe, von dieser Regel abzuweichen, weshalb von der unterliegenden Gemeinde keine Gerichtskosten erhoben werden. 7.2 Die Beschwerdeführerin hat als obsiegende Partei gemäss Art. 91 Abs. 1 VVRG Anspruch auf eine Parteientschädigung. Die Entschädigung wird im Dispositiv beziffert und der Staats- oder Gemeindekasse auferlegt, soweit sie aus Billigkeitsgründen nicht der unterliegenden Partei auferlegt werden kann (Art. 91 Abs. 2 VVRG). Diese ist global festzusetzen und umfasst die Entschädigung an die berechtigte Partei sowie ihre An- waltskosten, die in Anwendung der Art. 27 ff. GTar festzusetzen sind und im Verwal- tungsgerichtsbeschwerdeverfahren zwischen Fr. 1 100.-- und Fr. 11 000.-- betragen (Art. 39 GTar). Die der Beschwerdeführerin zuzusprechende Parteientschädigung wird aufgrund der Bedeutung des Falles, seines Umfangs und seines Schwierigkeitsgrades für die im Verfahren vor dem Kantonsgericht ausgeführten Arbeiten, welche in der Ein- reichung der Beschwerde (16 Seiten) und einer Replik (8 Seiten) bestand, sowie für das Verfahren vor dem Staatsrat auf insgesamt Fr. 2 500.-- festgesetzt und der Gemeinde als unterlegene Partei auferlegt.</w:t>
      </w:r>
    </w:p>
    <w:p>
      <w:r>
        <w:t>- 11 -</w:t>
      </w:r>
    </w:p>
    <w:p>
      <w:r>
        <w:t>Demnach erkennt das Kantonsgericht:</w:t>
      </w:r>
    </w:p>
    <w:p>
      <w:r>
        <w:t>1. Die Beschwerde wird gutgeheissen. 2. Der Beschwerdeführerin wird für die Verfahren vor dem Staatsrat und dem Kan- tonsgericht eine Parteientschädigung von Fr. 2 500.-- zu Lasten der Gemeinde zu- gesprochen. 3. Es werden keine Gerichtskosten erhoben. 4. Das Urteil wird der Beschwerdeführerin und der Gemeinde A ___________ schrift- lich mitgeteilt.</w:t>
      </w:r>
    </w:p>
    <w:p>
      <w:r>
        <w:t>Sitten, 15. Februar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